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  <w:jc w:val="center"/>
      </w:pPr>
      <w:r>
        <w:rPr>
          <w:rFonts w:ascii="Calibri" w:cs="Calibri" w:eastAsia="Calibri" w:hAnsi="Calibri"/>
          <w:b/>
          <w:bCs/>
          <w:color w:val="1F4D3A"/>
          <w:sz w:val="34"/>
          <w:szCs w:val="34"/>
        </w:rPr>
        <w:t xml:space="preserve">FIȘA DE ORGANIZARE A EXPOZIȚIEI</w:t>
      </w:r>
    </w:p>
    <w:p>
      <w:pPr>
        <w:spacing w:after="200" w:before="0"/>
        <w:jc w:val="center"/>
      </w:pPr>
      <w:r>
        <w:rPr>
          <w:rFonts w:ascii="Calibri" w:cs="Calibri" w:eastAsia="Calibri" w:hAnsi="Calibri"/>
          <w:b/>
          <w:bCs/>
          <w:color w:val="B08D2E"/>
          <w:sz w:val="21"/>
          <w:szCs w:val="21"/>
        </w:rPr>
        <w:t xml:space="preserve">Cerere de creare a expoziției în Managerul de expoziții și de publicare pe cfc-royal.ro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B08D2E" w:sz="12"/>
              <w:left w:val="single" w:color="B9C5BF" w:sz="4"/>
              <w:bottom w:val="single" w:color="B9C5BF" w:sz="4"/>
              <w:right w:val="single" w:color="B9C5BF" w:sz="4"/>
            </w:tcBorders>
            <w:shd w:fill="FBF8EF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21"/>
                <w:szCs w:val="21"/>
              </w:rPr>
              <w:t xml:space="preserve">Cum se completează</w:t>
            </w:r>
          </w:p>
          <w:p>
            <w:pPr>
              <w:spacing w:after="5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O fișă pentru fiecare expoziție. Două expoziții în aceeași zi și în același loc (de exemplu C.A.C. și C.A.C.I.B.) înseamnă două fișe.</w:t>
            </w:r>
          </w:p>
          <w:p>
            <w:pPr>
              <w:spacing w:after="5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Se completează online pe cfc-royal.ro/ro/expozitii/organizare/ sau aici, și se trimite la </w:t>
            </w: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contact@cfc-royal.ro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în format Word, împreună cu o copie scanată, semnată și ștampilată, și cu anexele de la secțiunea 12.</w:t>
            </w:r>
          </w:p>
          <w:p>
            <w:pPr>
              <w:spacing w:after="5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Termen: </w:t>
            </w: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cu cel puțin 90 de zile înainte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pentru expozițiile internaționale (C.A.C.I.B.) și </w:t>
            </w: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cu cel puțin 60 de zile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pentru celelalte (Regulamentul de organizare a expozițiilor, Art. 5). Fișa ține loc de cererea de sancționare; Consiliul Director se pronunță în cel mult 30 de zile.</w:t>
            </w:r>
          </w:p>
          <w:p>
            <w:pPr>
              <w:spacing w:after="5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Câmpurile marcate cu 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*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sunt obligatorii. O fișă incompletă întârzie crearea expoziției și deschiderea înscrierilor.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Căsuțele se bifează cu un clic. Unde nu e loc suficient, se continuă pe o anexă.</w:t>
            </w:r>
          </w:p>
        </w:tc>
      </w:tr>
    </w:tbl>
    <w:p>
      <w:pPr>
        <w:pStyle w:val="Heading1"/>
        <w:keepNext/>
        <w:pBdr>
          <w:bottom w:val="single" w:color="B08D2E" w:sz="8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B08D2E"/>
          <w:sz w:val="24"/>
          <w:szCs w:val="24"/>
        </w:rPr>
        <w:t xml:space="preserve">1. </w:t>
      </w:r>
      <w:r>
        <w:rPr>
          <w:rFonts w:ascii="Calibri" w:cs="Calibri" w:eastAsia="Calibri" w:hAnsi="Calibri"/>
          <w:b/>
          <w:bCs/>
          <w:color w:val="1F4D3A"/>
          <w:sz w:val="24"/>
          <w:szCs w:val="24"/>
        </w:rPr>
        <w:t xml:space="preserve">ASOCIAȚIA ORGANIZATOARE</w:t>
      </w: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5F6B66"/>
          <w:sz w:val="17"/>
          <w:szCs w:val="17"/>
        </w:rPr>
        <w:t xml:space="preserve">Asociația în al cărei cont intră taxele de înscriere. Denumirea și contul apar pe formularul de înscriere de pe site, ca expozanții să plătească direct organizatorului.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6138"/>
      </w:tblGrid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Denumirea exactă, ca în extrasul de cont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Cod de identificare fiscală (CIF)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IBAN — contul pentru taxele de înscriere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Banca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Adresa sediului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Localitatea / Județul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E-mail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Telefon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Site web / pagină Facebook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Relația cu CFC-Royal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asociație afiliată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membru colectiv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CFC-Royal (organizator direct)</w:t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Acordul-cadru (nr. și data) — obligatoriu pentru Membrii Colectivi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B08D2E" w:sz="8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B08D2E"/>
          <w:sz w:val="24"/>
          <w:szCs w:val="24"/>
        </w:rPr>
        <w:t xml:space="preserve">2. </w:t>
      </w:r>
      <w:r>
        <w:rPr>
          <w:rFonts w:ascii="Calibri" w:cs="Calibri" w:eastAsia="Calibri" w:hAnsi="Calibri"/>
          <w:b/>
          <w:bCs/>
          <w:color w:val="1F4D3A"/>
          <w:sz w:val="24"/>
          <w:szCs w:val="24"/>
        </w:rPr>
        <w:t xml:space="preserve">EXPOZIȚIA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6138"/>
      </w:tblGrid>
      <w:tr>
        <w:trPr>
          <w:cantSplit/>
          <w:trHeight w:val="56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Denumirea oficială (cum apare în catalog și pe site)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Ediția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Tipul expoziției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Națională — C.A.C.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Internațională — C.A.C.I.B.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Specială</w:t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Data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Locul — denumirea (parc, sală, bază sportivă)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Adresa completă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Localitatea / Județul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Link Google Maps sau coordonate GPS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Dovada dreptului de folosință a locului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atașată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o trimit ulterior</w:t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Desfășurarea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în aer liber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în sală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mixt</w:t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Termenul-limită al înscrierilor (data și ora)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Intrarea publicului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gratuită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cu taxă: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 ________ lei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i/>
          <w:iCs/>
          <w:color w:val="5F6B66"/>
          <w:sz w:val="17"/>
          <w:szCs w:val="17"/>
        </w:rPr>
        <w:t xml:space="preserve">Tipul hotărăște rasele admise și titlurile: C.A.C.I.B. se acordă numai la expoziția internațională; la expoziția specială se înscriu doar rasele de câini ciobănești de pază din lista CFC-Royal; la națională și internațională, toate rasele recunoscute de WDF.</w:t>
      </w:r>
    </w:p>
    <w:p>
      <w:pPr>
        <w:pStyle w:val="Heading1"/>
        <w:keepNext/>
        <w:pBdr>
          <w:bottom w:val="single" w:color="B08D2E" w:sz="8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B08D2E"/>
          <w:sz w:val="24"/>
          <w:szCs w:val="24"/>
        </w:rPr>
        <w:t xml:space="preserve">3. </w:t>
      </w:r>
      <w:r>
        <w:rPr>
          <w:rFonts w:ascii="Calibri" w:cs="Calibri" w:eastAsia="Calibri" w:hAnsi="Calibri"/>
          <w:b/>
          <w:bCs/>
          <w:color w:val="1F4D3A"/>
          <w:sz w:val="24"/>
          <w:szCs w:val="24"/>
        </w:rPr>
        <w:t xml:space="preserve">RINGURILE ȘI PROGRAMUL ZILEI</w:t>
      </w: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5F6B66"/>
          <w:sz w:val="17"/>
          <w:szCs w:val="17"/>
        </w:rPr>
        <w:t xml:space="preserve">Elementele obligatorii ale programului și ale catalogului (Regulamentul oficial al expozițiilor, Art. 5 și capitolul Cataloage).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6138"/>
      </w:tblGrid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Numărul de ringuri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Dimensiunile fiecărui ring (m × m)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Suprafața ringurilor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gazon tuns scurt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pământ bătătorit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pardoseală nealunecoasă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altă suprafață:</w:t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Ora deschiderii și a primirii câinilor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Ora începerii arbitrajului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Ora Ringului de Onoare (între 15:00 și 16:30)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Timpul obligatoriu de permanență a câinilor în expoziție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Concursuri speciale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perechi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grupuri de crescător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concursuri pentru copii (handling)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altele:</w:t>
            </w:r>
          </w:p>
        </w:tc>
      </w:tr>
    </w:tbl>
    <w:p>
      <w:pPr>
        <w:pStyle w:val="Heading1"/>
        <w:keepNext/>
        <w:pBdr>
          <w:bottom w:val="single" w:color="B08D2E" w:sz="8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B08D2E"/>
          <w:sz w:val="24"/>
          <w:szCs w:val="24"/>
        </w:rPr>
        <w:t xml:space="preserve">4. </w:t>
      </w:r>
      <w:r>
        <w:rPr>
          <w:rFonts w:ascii="Calibri" w:cs="Calibri" w:eastAsia="Calibri" w:hAnsi="Calibri"/>
          <w:b/>
          <w:bCs/>
          <w:color w:val="1F4D3A"/>
          <w:sz w:val="24"/>
          <w:szCs w:val="24"/>
        </w:rPr>
        <w:t xml:space="preserve">COMITETUL ORGANIZATORIC</w:t>
      </w: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5F6B66"/>
          <w:sz w:val="17"/>
          <w:szCs w:val="17"/>
        </w:rPr>
        <w:t xml:space="preserve">Numele, adresa și componența comitetului apar obligatoriu în catalog.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6138"/>
      </w:tblGrid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Denumirea comitetului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Adresa comitetului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84"/>
        <w:gridCol w:w="2120"/>
        <w:gridCol w:w="1735"/>
        <w:gridCol w:w="2699"/>
      </w:tblGrid>
      <w:tr>
        <w:trPr>
          <w:tblHeader/>
        </w:trPr>
        <w:tc>
          <w:tcPr>
            <w:tcW w:type="dxa" w:w="308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Nume și prenume</w:t>
            </w:r>
          </w:p>
        </w:tc>
        <w:tc>
          <w:tcPr>
            <w:tcW w:type="dxa" w:w="212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Funcția în comitet</w:t>
            </w:r>
          </w:p>
        </w:tc>
        <w:tc>
          <w:tcPr>
            <w:tcW w:type="dxa" w:w="1735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Telefon</w:t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E-mail</w:t>
            </w:r>
          </w:p>
        </w:tc>
      </w:tr>
      <w:tr>
        <w:trPr>
          <w:cantSplit/>
          <w:trHeight w:val="440" w:hRule="atLeast"/>
        </w:trPr>
        <w:tc>
          <w:tcPr>
            <w:tcW w:type="dxa" w:w="308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12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Președinte</w:t>
            </w:r>
          </w:p>
        </w:tc>
        <w:tc>
          <w:tcPr>
            <w:tcW w:type="dxa" w:w="1735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8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12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35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8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12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35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8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12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35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8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12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35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8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12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35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spacing w:after="60" w:before="0"/>
      </w:pPr>
      <w:r>
        <w:rPr>
          <w:rFonts w:ascii="Calibri" w:cs="Calibri" w:eastAsia="Calibri" w:hAnsi="Calibri"/>
          <w:b/>
          <w:bCs/>
          <w:color w:val="1F4D3A"/>
          <w:sz w:val="20"/>
          <w:szCs w:val="20"/>
        </w:rPr>
        <w:t xml:space="preserve">Responsabilul expoziției în Manager</w:t>
      </w: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5F6B66"/>
          <w:sz w:val="17"/>
          <w:szCs w:val="17"/>
        </w:rPr>
        <w:t xml:space="preserve">Primește un cod de organizator valabil numai pentru această expoziție: validează înscrieri, închide catalogul, introduce rezultate și tipărește documentele. Deblocarea catalogului și partea financiară rămân la administratorul CFC-Royal.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6138"/>
      </w:tblGrid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Nume și prenume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Telefon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E-mail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B08D2E" w:sz="8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B08D2E"/>
          <w:sz w:val="24"/>
          <w:szCs w:val="24"/>
        </w:rPr>
        <w:t xml:space="preserve">5. </w:t>
      </w:r>
      <w:r>
        <w:rPr>
          <w:rFonts w:ascii="Calibri" w:cs="Calibri" w:eastAsia="Calibri" w:hAnsi="Calibri"/>
          <w:b/>
          <w:bCs/>
          <w:color w:val="1F4D3A"/>
          <w:sz w:val="24"/>
          <w:szCs w:val="24"/>
        </w:rPr>
        <w:t xml:space="preserve">ARBITRII (JURIUL)</w:t>
      </w: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5F6B66"/>
          <w:sz w:val="17"/>
          <w:szCs w:val="17"/>
        </w:rPr>
        <w:t xml:space="preserve">Un ring poate avea până la trei arbitri, care judecă unul după altul. Fiecărui arbitru i se repartizează cel mult 80 de câini.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71"/>
        <w:gridCol w:w="2506"/>
        <w:gridCol w:w="1157"/>
        <w:gridCol w:w="3084"/>
        <w:gridCol w:w="1060"/>
        <w:gridCol w:w="1060"/>
      </w:tblGrid>
      <w:tr>
        <w:trPr>
          <w:tblHeader/>
        </w:trPr>
        <w:tc>
          <w:tcPr>
            <w:tcW w:type="dxa" w:w="77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Ring</w:t>
            </w:r>
          </w:p>
        </w:tc>
        <w:tc>
          <w:tcPr>
            <w:tcW w:type="dxa" w:w="2506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Arbitrul (nume și prenume)</w:t>
            </w:r>
          </w:p>
        </w:tc>
        <w:tc>
          <w:tcPr>
            <w:tcW w:type="dxa" w:w="1157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Țara</w:t>
            </w:r>
          </w:p>
        </w:tc>
        <w:tc>
          <w:tcPr>
            <w:tcW w:type="dxa" w:w="308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Rasele sau grupele WDF repartizate</w:t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Câini estimați</w:t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Acceptare scrisă</w:t>
            </w:r>
          </w:p>
        </w:tc>
      </w:tr>
      <w:tr>
        <w:trPr>
          <w:cantSplit/>
          <w:trHeight w:val="440" w:hRule="atLeast"/>
        </w:trPr>
        <w:tc>
          <w:tcPr>
            <w:tcW w:type="dxa" w:w="77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506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57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08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77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506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57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08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77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506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57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08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77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506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57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08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77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506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57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08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77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506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57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08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77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506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57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08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77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506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57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08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6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6138"/>
      </w:tblGrid>
      <w:tr>
        <w:trPr>
          <w:cantSplit/>
          <w:trHeight w:val="56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Arbitri anunțați pe site ca „Arbitri invitați” (numai dacă diferă de tabel)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Ordinea raselor în fiecare ring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atașată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o trimit ulterior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o stabilește CFC-Royal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i/>
          <w:iCs/>
          <w:color w:val="5F6B66"/>
          <w:sz w:val="17"/>
          <w:szCs w:val="17"/>
        </w:rPr>
        <w:t xml:space="preserve">Arbitrii se invită în scris și răspund în scris; copiile scrisorilor de acceptare se atașează. Arbitrii din țări nemembre WDF completează chestionarul standard WDF, iar organizatorul le trimite din timp standardele raselor pe care le judecă.</w:t>
      </w:r>
    </w:p>
    <w:p>
      <w:pPr>
        <w:pStyle w:val="Heading1"/>
        <w:keepNext/>
        <w:pBdr>
          <w:bottom w:val="single" w:color="B08D2E" w:sz="8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B08D2E"/>
          <w:sz w:val="24"/>
          <w:szCs w:val="24"/>
        </w:rPr>
        <w:t xml:space="preserve">6. </w:t>
      </w:r>
      <w:r>
        <w:rPr>
          <w:rFonts w:ascii="Calibri" w:cs="Calibri" w:eastAsia="Calibri" w:hAnsi="Calibri"/>
          <w:b/>
          <w:bCs/>
          <w:color w:val="1F4D3A"/>
          <w:sz w:val="24"/>
          <w:szCs w:val="24"/>
        </w:rPr>
        <w:t xml:space="preserve">OFICIALII EXPOZIȚIEI</w:t>
      </w: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5F6B66"/>
          <w:sz w:val="17"/>
          <w:szCs w:val="17"/>
        </w:rPr>
        <w:t xml:space="preserve">Treceți oficialii dacă sunt deja cunoscuți; cei stabiliți mai târziu se comunică secretariatului înainte de deschiderea înscrierilor. Numele lor apar obligatoriu în catalog.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2699"/>
        <w:gridCol w:w="1157"/>
        <w:gridCol w:w="1735"/>
        <w:gridCol w:w="1734"/>
      </w:tblGrid>
      <w:tr>
        <w:trPr>
          <w:tblHeader/>
        </w:trPr>
        <w:tc>
          <w:tcPr>
            <w:tcW w:type="dxa" w:w="2313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Funcția</w:t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Nume și prenume</w:t>
            </w:r>
          </w:p>
        </w:tc>
        <w:tc>
          <w:tcPr>
            <w:tcW w:type="dxa" w:w="1157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Țara</w:t>
            </w:r>
          </w:p>
        </w:tc>
        <w:tc>
          <w:tcPr>
            <w:tcW w:type="dxa" w:w="1735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Nr. licență / autorizație</w:t>
            </w:r>
          </w:p>
        </w:tc>
        <w:tc>
          <w:tcPr>
            <w:tcW w:type="dxa" w:w="173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Telefon</w:t>
            </w:r>
          </w:p>
        </w:tc>
      </w:tr>
      <w:tr>
        <w:trPr>
          <w:cantSplit/>
          <w:trHeight w:val="440" w:hRule="atLeast"/>
        </w:trPr>
        <w:tc>
          <w:tcPr>
            <w:tcW w:type="dxa" w:w="2313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8"/>
                <w:szCs w:val="18"/>
              </w:rPr>
              <w:t xml:space="preserve">Delegatul WDF</w:t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57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35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3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313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8"/>
                <w:szCs w:val="18"/>
              </w:rPr>
              <w:t xml:space="preserve">Medicul veterinar de serviciu</w:t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57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35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3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313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8"/>
                <w:szCs w:val="18"/>
              </w:rPr>
              <w:t xml:space="preserve">Secretariatul expoziției</w:t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57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35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3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313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57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35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3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spacing w:after="60" w:before="0"/>
      </w:pPr>
      <w:r>
        <w:rPr>
          <w:rFonts w:ascii="Calibri" w:cs="Calibri" w:eastAsia="Calibri" w:hAnsi="Calibri"/>
          <w:b/>
          <w:bCs/>
          <w:color w:val="1F4D3A"/>
          <w:sz w:val="20"/>
          <w:szCs w:val="20"/>
        </w:rPr>
        <w:t xml:space="preserve">Comisarii de ring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4"/>
        <w:gridCol w:w="3662"/>
        <w:gridCol w:w="2120"/>
        <w:gridCol w:w="2892"/>
      </w:tblGrid>
      <w:tr>
        <w:trPr>
          <w:tblHeader/>
        </w:trPr>
        <w:tc>
          <w:tcPr>
            <w:tcW w:type="dxa" w:w="96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Ring</w:t>
            </w:r>
          </w:p>
        </w:tc>
        <w:tc>
          <w:tcPr>
            <w:tcW w:type="dxa" w:w="3662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Nume și prenume</w:t>
            </w:r>
          </w:p>
        </w:tc>
        <w:tc>
          <w:tcPr>
            <w:tcW w:type="dxa" w:w="212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Telefon</w:t>
            </w:r>
          </w:p>
        </w:tc>
        <w:tc>
          <w:tcPr>
            <w:tcW w:type="dxa" w:w="2892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Limbi străine vorbite</w:t>
            </w:r>
          </w:p>
        </w:tc>
      </w:tr>
      <w:tr>
        <w:trPr>
          <w:cantSplit/>
          <w:trHeight w:val="440" w:hRule="atLeast"/>
        </w:trPr>
        <w:tc>
          <w:tcPr>
            <w:tcW w:type="dxa" w:w="96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662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12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892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96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662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12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892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96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662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12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892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96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662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12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892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96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662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12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892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i/>
          <w:iCs/>
          <w:color w:val="5F6B66"/>
          <w:sz w:val="17"/>
          <w:szCs w:val="17"/>
        </w:rPr>
        <w:t xml:space="preserve">Pentru un arbitru străin, cel puțin un comisar de ring vorbește fluent limba preferată de arbitru, dintre limbile oficiale WDF.</w:t>
      </w:r>
    </w:p>
    <w:p>
      <w:pPr>
        <w:pStyle w:val="Heading1"/>
        <w:keepNext/>
        <w:pBdr>
          <w:bottom w:val="single" w:color="B08D2E" w:sz="8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B08D2E"/>
          <w:sz w:val="24"/>
          <w:szCs w:val="24"/>
        </w:rPr>
        <w:t xml:space="preserve">7. </w:t>
      </w:r>
      <w:r>
        <w:rPr>
          <w:rFonts w:ascii="Calibri" w:cs="Calibri" w:eastAsia="Calibri" w:hAnsi="Calibri"/>
          <w:b/>
          <w:bCs/>
          <w:color w:val="1F4D3A"/>
          <w:sz w:val="24"/>
          <w:szCs w:val="24"/>
        </w:rPr>
        <w:t xml:space="preserve">TAXELE DE ÎNSCRIERE</w:t>
      </w: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5F6B66"/>
          <w:sz w:val="17"/>
          <w:szCs w:val="17"/>
        </w:rPr>
        <w:t xml:space="preserve">Tariful CFC-Royal nu se calculează pe clasă: depinde de calitatea de membru și de numărul de câini ai aceluiași proprietar (primul câine și fiecare câine următor).</w:t>
      </w:r>
    </w:p>
    <w:p>
      <w:pPr>
        <w:spacing w:after="60" w:before="0"/>
        <w:ind w:left="12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19"/>
          <w:szCs w:val="19"/>
        </w:rPr>
        <w:t xml:space="preserve">  Aplicăm lista de tarife a CFC-Royal publicată pe cfc-royal.ro (recomandat).</w:t>
      </w:r>
    </w:p>
    <w:p>
      <w:pPr>
        <w:spacing w:after="100" w:before="0"/>
        <w:ind w:left="12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19"/>
          <w:szCs w:val="19"/>
        </w:rPr>
        <w:t xml:space="preserve">  Propunem taxe proprii, în tabelul de mai jos. Ele se aprobă de CFC-Royal înainte de publicare.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3373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Primul câine (lei)</w:t>
            </w:r>
          </w:p>
        </w:tc>
        <w:tc>
          <w:tcPr>
            <w:tcW w:type="dxa" w:w="337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Fiecare câine următor (lei)</w:t>
            </w:r>
          </w:p>
        </w:tc>
      </w:tr>
      <w:tr>
        <w:trPr>
          <w:cantSplit/>
          <w:trHeight w:val="440" w:hRule="atLeast"/>
        </w:trPr>
        <w:tc>
          <w:tcPr>
            <w:tcW w:type="dxa" w:w="289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8"/>
                <w:szCs w:val="18"/>
              </w:rPr>
              <w:t xml:space="preserve">Membru</w:t>
            </w:r>
          </w:p>
        </w:tc>
        <w:tc>
          <w:tcPr>
            <w:tcW w:type="dxa" w:w="3373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37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89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8"/>
                <w:szCs w:val="18"/>
              </w:rPr>
              <w:t xml:space="preserve">Nemembru</w:t>
            </w:r>
          </w:p>
        </w:tc>
        <w:tc>
          <w:tcPr>
            <w:tcW w:type="dxa" w:w="3373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374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6138"/>
      </w:tblGrid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Reducerea pentru studenți (%)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Clase fără taxă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Baby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Puppy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Very Young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Young (Junior)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Intermediară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Deschisă (Open)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Working (Lucru)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Winner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Champion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Foreign Champion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Veterani</w:t>
            </w:r>
          </w:p>
        </w:tc>
      </w:tr>
      <w:tr>
        <w:trPr>
          <w:cantSplit/>
          <w:trHeight w:val="56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Alte facilități (rase scutite, perechi, grupuri)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B08D2E" w:sz="8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B08D2E"/>
          <w:sz w:val="24"/>
          <w:szCs w:val="24"/>
        </w:rPr>
        <w:t xml:space="preserve">8. </w:t>
      </w:r>
      <w:r>
        <w:rPr>
          <w:rFonts w:ascii="Calibri" w:cs="Calibri" w:eastAsia="Calibri" w:hAnsi="Calibri"/>
          <w:b/>
          <w:bCs/>
          <w:color w:val="1F4D3A"/>
          <w:sz w:val="24"/>
          <w:szCs w:val="24"/>
        </w:rPr>
        <w:t xml:space="preserve">PREMIILE ȘI SPONSORII</w:t>
      </w: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5F6B66"/>
          <w:sz w:val="17"/>
          <w:szCs w:val="17"/>
        </w:rPr>
        <w:t xml:space="preserve">Lista premiilor apare obligatoriu în program și în catalog. Premiile în bani sunt permise doar când vin de la instituții sau persoane din afara organizației expoziției.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6138"/>
      </w:tblGrid>
      <w:tr>
        <w:trPr>
          <w:cantSplit/>
          <w:trHeight w:val="140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Lista premiilor (cupe, medalii, rozete, premii speciale)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699"/>
        <w:gridCol w:w="2699"/>
        <w:gridCol w:w="1349"/>
      </w:tblGrid>
      <w:tr>
        <w:trPr>
          <w:tblHeader/>
        </w:trPr>
        <w:tc>
          <w:tcPr>
            <w:tcW w:type="dxa" w:w="289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Sponsor</w:t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Site web</w:t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Ce oferă</w:t>
            </w:r>
          </w:p>
        </w:tc>
        <w:tc>
          <w:tcPr>
            <w:tcW w:type="dxa" w:w="134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Sigla trimisă</w:t>
            </w:r>
          </w:p>
        </w:tc>
      </w:tr>
      <w:tr>
        <w:trPr>
          <w:cantSplit/>
          <w:trHeight w:val="440" w:hRule="atLeast"/>
        </w:trPr>
        <w:tc>
          <w:tcPr>
            <w:tcW w:type="dxa" w:w="289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34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89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34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89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34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89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69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349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B08D2E" w:sz="8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B08D2E"/>
          <w:sz w:val="24"/>
          <w:szCs w:val="24"/>
        </w:rPr>
        <w:t xml:space="preserve">9. </w:t>
      </w:r>
      <w:r>
        <w:rPr>
          <w:rFonts w:ascii="Calibri" w:cs="Calibri" w:eastAsia="Calibri" w:hAnsi="Calibri"/>
          <w:b/>
          <w:bCs/>
          <w:color w:val="1F4D3A"/>
          <w:sz w:val="24"/>
          <w:szCs w:val="24"/>
        </w:rPr>
        <w:t xml:space="preserve">STAGIUL PRACTIC AL ȘCOLII DE ARBITRAJ</w:t>
      </w: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5F6B66"/>
          <w:sz w:val="17"/>
          <w:szCs w:val="17"/>
        </w:rPr>
        <w:t xml:space="preserve">Candidații la arbitraj pot asista arbitrul în ring, fără să intervină în judecată. La final, arbitrul îi apreciază în raportul său.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6138"/>
      </w:tblGrid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Primim candidați pentru asistență în ring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da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nu</w:t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Numărul maxim de candidați pe ring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B08D2E" w:sz="8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B08D2E"/>
          <w:sz w:val="24"/>
          <w:szCs w:val="24"/>
        </w:rPr>
        <w:t xml:space="preserve">10. </w:t>
      </w:r>
      <w:r>
        <w:rPr>
          <w:rFonts w:ascii="Calibri" w:cs="Calibri" w:eastAsia="Calibri" w:hAnsi="Calibri"/>
          <w:b/>
          <w:bCs/>
          <w:color w:val="1F4D3A"/>
          <w:sz w:val="24"/>
          <w:szCs w:val="24"/>
        </w:rPr>
        <w:t xml:space="preserve">PAGINA EXPOZIȚIEI DE PE SITE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6138"/>
      </w:tblGrid>
      <w:tr>
        <w:trPr>
          <w:cantSplit/>
          <w:trHeight w:val="130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Descrierea scurtă a expoziției (3–5 rânduri)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E-mail de contact public</w:t>
            </w:r>
            <w:r>
              <w:rPr>
                <w:rFonts w:ascii="Calibri" w:cs="Calibri" w:eastAsia="Calibri" w:hAnsi="Calibri"/>
                <w:b/>
                <w:bCs/>
                <w:color w:val="A33A2B"/>
                <w:sz w:val="19"/>
                <w:szCs w:val="19"/>
              </w:rPr>
              <w:t xml:space="preserve"> *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Telefon public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Afișul sau bannerul (JPG/PNG, minimum 1080 px lățime)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atașat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îl trimit ulterior</w:t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Sigla organizatorului (PNG, fond transparent)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atașată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nu avem</w:t>
            </w:r>
          </w:p>
        </w:tc>
      </w:tr>
      <w:tr>
        <w:trPr>
          <w:cantSplit/>
          <w:trHeight w:val="42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Regulamentul sau programul expoziției (PDF)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atașat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sz w:val="19"/>
                <w:szCs w:val="19"/>
              </w:rPr>
              <w:t xml:space="preserve"> nu</w:t>
            </w:r>
          </w:p>
        </w:tc>
      </w:tr>
      <w:tr>
        <w:trPr>
          <w:cantSplit/>
          <w:trHeight w:val="56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Linkuri utile (Facebook, eveniment, cazare)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B08D2E" w:sz="8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B08D2E"/>
          <w:sz w:val="24"/>
          <w:szCs w:val="24"/>
        </w:rPr>
        <w:t xml:space="preserve">11. </w:t>
      </w:r>
      <w:r>
        <w:rPr>
          <w:rFonts w:ascii="Calibri" w:cs="Calibri" w:eastAsia="Calibri" w:hAnsi="Calibri"/>
          <w:b/>
          <w:bCs/>
          <w:color w:val="1F4D3A"/>
          <w:sz w:val="24"/>
          <w:szCs w:val="24"/>
        </w:rPr>
        <w:t xml:space="preserve">DECLARAȚIA ORGANIZATORULUI</w:t>
      </w: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5F6B66"/>
          <w:sz w:val="17"/>
          <w:szCs w:val="17"/>
        </w:rPr>
        <w:t xml:space="preserve">Bifați fiecare punct. Fișa se semnează de președintele comitetului organizatoric.</w:t>
      </w:r>
    </w:p>
    <w:p>
      <w:pPr>
        <w:spacing w:after="70" w:before="0"/>
        <w:ind w:left="12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19"/>
          <w:szCs w:val="19"/>
        </w:rPr>
        <w:t xml:space="preserve">  Expoziția se desfășoară conform regulamentelor World Dog Federation; sigla WDF apare pe coperta catalogului și în spațiul expoziției.</w:t>
      </w:r>
    </w:p>
    <w:p>
      <w:pPr>
        <w:spacing w:after="70" w:before="0"/>
        <w:ind w:left="12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19"/>
          <w:szCs w:val="19"/>
        </w:rPr>
        <w:t xml:space="preserve">  Arbitrii au fost invitați în scris și au acceptat în scris; niciun arbitru nu va judeca mai mult de 80 de câini.</w:t>
      </w:r>
    </w:p>
    <w:p>
      <w:pPr>
        <w:spacing w:after="70" w:before="0"/>
        <w:ind w:left="12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19"/>
          <w:szCs w:val="19"/>
        </w:rPr>
        <w:t xml:space="preserve">  Ringurile sunt bine delimitate, nivelate, cu suprafață nealunecoasă și potrivite raselor și numărului de câini.</w:t>
      </w:r>
    </w:p>
    <w:p>
      <w:pPr>
        <w:spacing w:after="70" w:before="0"/>
        <w:ind w:left="12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19"/>
          <w:szCs w:val="19"/>
        </w:rPr>
        <w:t xml:space="preserve">  Membrii comitetului de organizare nu prezintă câini proprii în această expoziție.</w:t>
      </w:r>
    </w:p>
    <w:p>
      <w:pPr>
        <w:spacing w:after="70" w:before="0"/>
        <w:ind w:left="12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19"/>
          <w:szCs w:val="19"/>
        </w:rPr>
        <w:t xml:space="preserve">  Folosim fișele de arbitraj și documentele generate de Managerul de expoziții al CFC-Royal.</w:t>
      </w:r>
    </w:p>
    <w:p>
      <w:pPr>
        <w:spacing w:after="70" w:before="0"/>
        <w:ind w:left="12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19"/>
          <w:szCs w:val="19"/>
        </w:rPr>
        <w:t xml:space="preserve">  Datele de contact de la secțiunile 1 și 10 pot fi publicate pe cfc-royal.ro, iar persoanele trecute în fișă au fost informate.</w:t>
      </w:r>
    </w:p>
    <w:p>
      <w:pPr>
        <w:spacing w:after="70" w:before="0"/>
        <w:ind w:left="12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19"/>
          <w:szCs w:val="19"/>
        </w:rPr>
        <w:t xml:space="preserve">  Anunțăm CFC-Royal de îndată despre orice schimbare: arbitri, loc, dată sau program.</w:t>
      </w:r>
    </w:p>
    <w:p>
      <w:pPr>
        <w:spacing w:after="12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2"/>
        <w:gridCol w:w="3470"/>
        <w:gridCol w:w="2313"/>
        <w:gridCol w:w="2313"/>
      </w:tblGrid>
      <w:tr>
        <w:trPr>
          <w:tblHeader/>
        </w:trPr>
        <w:tc>
          <w:tcPr>
            <w:tcW w:type="dxa" w:w="1542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Data</w:t>
            </w:r>
          </w:p>
        </w:tc>
        <w:tc>
          <w:tcPr>
            <w:tcW w:type="dxa" w:w="347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Președintele comitetului (nume și prenume)</w:t>
            </w:r>
          </w:p>
        </w:tc>
        <w:tc>
          <w:tcPr>
            <w:tcW w:type="dxa" w:w="2313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Semnătura</w:t>
            </w:r>
          </w:p>
        </w:tc>
        <w:tc>
          <w:tcPr>
            <w:tcW w:type="dxa" w:w="2313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Ștampila</w:t>
            </w:r>
          </w:p>
        </w:tc>
      </w:tr>
      <w:tr>
        <w:trPr>
          <w:cantSplit/>
          <w:trHeight w:val="440" w:hRule="atLeast"/>
        </w:trPr>
        <w:tc>
          <w:tcPr>
            <w:tcW w:type="dxa" w:w="1542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47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313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313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B08D2E" w:sz="8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B08D2E"/>
          <w:sz w:val="24"/>
          <w:szCs w:val="24"/>
        </w:rPr>
        <w:t xml:space="preserve">12. </w:t>
      </w:r>
      <w:r>
        <w:rPr>
          <w:rFonts w:ascii="Calibri" w:cs="Calibri" w:eastAsia="Calibri" w:hAnsi="Calibri"/>
          <w:b/>
          <w:bCs/>
          <w:color w:val="1F4D3A"/>
          <w:sz w:val="24"/>
          <w:szCs w:val="24"/>
        </w:rPr>
        <w:t xml:space="preserve">ANEXE TRIMISE ÎMPREUNĂ CU FIȘA</w:t>
      </w:r>
    </w:p>
    <w:p>
      <w:pPr>
        <w:spacing w:after="70" w:before="0"/>
        <w:ind w:left="12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19"/>
          <w:szCs w:val="19"/>
        </w:rPr>
        <w:t xml:space="preserve">  Scrisorile de acceptare ale arbitrilor (sau declarația semnată a președintelui comitetului privind componența juriului)</w:t>
      </w:r>
    </w:p>
    <w:p>
      <w:pPr>
        <w:spacing w:after="70" w:before="0"/>
        <w:ind w:left="12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19"/>
          <w:szCs w:val="19"/>
        </w:rPr>
        <w:t xml:space="preserve">  Dovada dreptului de folosință a locului</w:t>
      </w:r>
    </w:p>
    <w:p>
      <w:pPr>
        <w:spacing w:after="70" w:before="0"/>
        <w:ind w:left="12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19"/>
          <w:szCs w:val="19"/>
        </w:rPr>
        <w:t xml:space="preserve">  Ordinea raselor pe ringuri, dacă este stabilită</w:t>
      </w:r>
    </w:p>
    <w:p>
      <w:pPr>
        <w:spacing w:after="70" w:before="0"/>
        <w:ind w:left="12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19"/>
          <w:szCs w:val="19"/>
        </w:rPr>
        <w:t xml:space="preserve">  Sigla organizatorului și siglele sponsorilor</w:t>
      </w:r>
    </w:p>
    <w:p>
      <w:pPr>
        <w:spacing w:after="70" w:before="0"/>
        <w:ind w:left="12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19"/>
          <w:szCs w:val="19"/>
        </w:rPr>
        <w:t xml:space="preserve">  Afișul de tipar al expoziției (vertical)</w:t>
      </w:r>
    </w:p>
    <w:p>
      <w:pPr>
        <w:spacing w:after="70" w:before="0"/>
        <w:ind w:left="12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19"/>
          <w:szCs w:val="19"/>
        </w:rPr>
        <w:t xml:space="preserve">  Afișul orizontal pentru site — bandă 2,7 : 1, de exemplu 1600 × 592 px, cel puțin 1200 px lățime, JPG sau PNG (se publică în capul paginii expoziției și deasupra formularului de înscriere)</w:t>
      </w:r>
    </w:p>
    <w:p>
      <w:pPr>
        <w:spacing w:after="70" w:before="0"/>
        <w:ind w:left="12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19"/>
          <w:szCs w:val="19"/>
        </w:rPr>
        <w:t xml:space="preserve">  Chestionarul WDF completat de arbitrii din țări nemembre WDF, dacă este cazul</w:t>
      </w:r>
    </w:p>
    <w:p>
      <w:pPr>
        <w:pStyle w:val="Heading1"/>
        <w:keepNext/>
        <w:pBdr>
          <w:bottom w:val="single" w:color="B08D2E" w:sz="8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B08D2E"/>
          <w:sz w:val="24"/>
          <w:szCs w:val="24"/>
        </w:rPr>
        <w:t xml:space="preserve">—. </w:t>
      </w:r>
      <w:r>
        <w:rPr>
          <w:rFonts w:ascii="Calibri" w:cs="Calibri" w:eastAsia="Calibri" w:hAnsi="Calibri"/>
          <w:b/>
          <w:bCs/>
          <w:color w:val="1F4D3A"/>
          <w:sz w:val="24"/>
          <w:szCs w:val="24"/>
        </w:rPr>
        <w:t xml:space="preserve">REZERVAT CFC-ROYAL</w:t>
      </w: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5F6B66"/>
          <w:sz w:val="17"/>
          <w:szCs w:val="17"/>
        </w:rPr>
        <w:t xml:space="preserve">Se completează de administrator.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35"/>
        <w:gridCol w:w="1928"/>
        <w:gridCol w:w="2313"/>
        <w:gridCol w:w="1831"/>
        <w:gridCol w:w="1831"/>
      </w:tblGrid>
      <w:tr>
        <w:trPr>
          <w:tblHeader/>
        </w:trPr>
        <w:tc>
          <w:tcPr>
            <w:tcW w:type="dxa" w:w="1735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Primită la</w:t>
            </w:r>
          </w:p>
        </w:tc>
        <w:tc>
          <w:tcPr>
            <w:tcW w:type="dxa" w:w="192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Verificată de</w:t>
            </w:r>
          </w:p>
        </w:tc>
        <w:tc>
          <w:tcPr>
            <w:tcW w:type="dxa" w:w="2313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Creată în Manager (ID)</w:t>
            </w:r>
          </w:p>
        </w:tc>
        <w:tc>
          <w:tcPr>
            <w:tcW w:type="dxa" w:w="183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Publicată pe site</w:t>
            </w:r>
          </w:p>
        </w:tc>
        <w:tc>
          <w:tcPr>
            <w:tcW w:type="dxa" w:w="183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1F4D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Înscrieri deschise</w:t>
            </w:r>
          </w:p>
        </w:tc>
      </w:tr>
      <w:tr>
        <w:trPr>
          <w:cantSplit/>
          <w:trHeight w:val="440" w:hRule="atLeast"/>
        </w:trPr>
        <w:tc>
          <w:tcPr>
            <w:tcW w:type="dxa" w:w="1735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313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3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31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6138"/>
      </w:tblGrid>
      <w:tr>
        <w:trPr>
          <w:cantSplit/>
          <w:trHeight w:val="900" w:hRule="atLeast"/>
        </w:trPr>
        <w:tc>
          <w:tcPr>
            <w:tcW w:type="dxa" w:w="3500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shd w:fill="EEF3F0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F4D3A"/>
                <w:sz w:val="19"/>
                <w:szCs w:val="19"/>
              </w:rPr>
              <w:t xml:space="preserve">Observații</w:t>
            </w:r>
          </w:p>
        </w:tc>
        <w:tc>
          <w:tcPr>
            <w:tcW w:type="dxa" w:w="6138"/>
            <w:tcBorders>
              <w:top w:val="single" w:color="B9C5BF" w:sz="4"/>
              <w:left w:val="single" w:color="B9C5BF" w:sz="4"/>
              <w:bottom w:val="single" w:color="B9C5BF" w:sz="4"/>
              <w:right w:val="single" w:color="B9C5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000" w:left="1134" w:header="50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Calibri" w:cs="Calibri" w:eastAsia="Calibri" w:hAnsi="Calibri"/>
        <w:color w:val="5F6B66"/>
        <w:sz w:val="16"/>
        <w:szCs w:val="16"/>
      </w:rPr>
      <w:t xml:space="preserve">Fișa de organizare a expoziției · CFC-Royal</w:t>
    </w:r>
    <w:r>
      <w:rPr>
        <w:rFonts w:ascii="Calibri" w:cs="Calibri" w:eastAsia="Calibri" w:hAnsi="Calibri"/>
        <w:color w:val="5F6B66"/>
        <w:sz w:val="16"/>
        <w:szCs w:val="16"/>
      </w:rPr>
      <w:t xml:space="preserve">	Pagina </w:t>
      <w:fldChar w:fldCharType="begin"/>
      <w:instrText xml:space="preserve">PAGE</w:instrText>
      <w:fldChar w:fldCharType="separate"/>
      <w:fldChar w:fldCharType="end"/>
      <w:t xml:space="preserve"> din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/>
        <w:left w:val="none"/>
        <w:bottom w:val="single" w:color="B08D2E" w:sz="8"/>
        <w:right w:val="none"/>
        <w:insideH w:val="none"/>
        <w:insideV w:val="none"/>
      </w:tblBorders>
      <w:tblLayout w:type="fixed"/>
    </w:tblPr>
    <w:tblGrid>
      <w:gridCol w:w="1300"/>
      <w:gridCol w:w="6738"/>
      <w:gridCol w:w="1600"/>
    </w:tblGrid>
    <w:tr>
      <w:tc>
        <w:tcPr>
          <w:tcW w:type="dxa" w:w="1300"/>
          <w:tcBorders>
            <w:top w:val="none"/>
            <w:left w:val="none"/>
            <w:bottom w:val="none"/>
            <w:right w:val="none"/>
          </w:tcBorders>
          <w:vAlign w:val="center"/>
        </w:tcPr>
        <w:p>
          <w:pPr>
            <w:spacing w:after="40" w:before="0"/>
          </w:pPr>
          <w:r>
            <w:drawing>
              <wp:inline distT="0" distB="0" distL="0" distR="0">
                <wp:extent cx="533400" cy="5334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738"/>
          <w:tcBorders>
            <w:top w:val="none"/>
            <w:left w:val="none"/>
            <w:bottom w:val="none"/>
            <w:right w:val="none"/>
          </w:tcBorders>
          <w:vAlign w:val="center"/>
        </w:tcPr>
        <w:p>
          <w:pPr>
            <w:spacing w:after="0" w:before="0"/>
            <w:jc w:val="center"/>
          </w:pPr>
          <w:r>
            <w:rPr>
              <w:rFonts w:ascii="Calibri" w:cs="Calibri" w:eastAsia="Calibri" w:hAnsi="Calibri"/>
              <w:b/>
              <w:bCs/>
              <w:color w:val="1F4D3A"/>
              <w:sz w:val="22"/>
              <w:szCs w:val="22"/>
            </w:rPr>
            <w:t xml:space="preserve">CLUBUL FEDERAL CHINOLOGIC ROYAL</w:t>
          </w:r>
        </w:p>
        <w:p>
          <w:pPr>
            <w:spacing w:after="40" w:before="0"/>
            <w:jc w:val="center"/>
          </w:pPr>
          <w:r>
            <w:rPr>
              <w:rFonts w:ascii="Calibri" w:cs="Calibri" w:eastAsia="Calibri" w:hAnsi="Calibri"/>
              <w:color w:val="5F6B66"/>
              <w:sz w:val="16"/>
              <w:szCs w:val="16"/>
            </w:rPr>
            <w:t xml:space="preserve">Membru al World Dog Federation · cfc-royal.ro · contact@cfc-royal.ro</w:t>
          </w:r>
        </w:p>
      </w:tc>
      <w:tc>
        <w:tcPr>
          <w:tcW w:type="dxa" w:w="1600"/>
          <w:tcBorders>
            <w:top w:val="none"/>
            <w:left w:val="none"/>
            <w:bottom w:val="none"/>
            <w:right w:val="none"/>
          </w:tcBorders>
          <w:vAlign w:val="center"/>
        </w:tcPr>
        <w:p>
          <w:pPr>
            <w:spacing w:after="40" w:before="0"/>
            <w:jc w:val="right"/>
          </w:pPr>
          <w:r>
            <w:drawing>
              <wp:inline distT="0" distB="0" distL="0" distR="0">
                <wp:extent cx="876300" cy="361950"/>
                <wp:effectExtent t="0" r="0" b="0" l="0"/>
                <wp:docPr id="2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F4D3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ef4c82111315924d68b1a76228135d88f2fa02f.png"/><Relationship Id="rId1" Type="http://schemas.openxmlformats.org/officeDocument/2006/relationships/image" Target="media/fb21ead0054bf7ec8ae30d15e697a5a87b69c2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Fișa de organizare a expoziției</dc:title>
  <dc:creator>Clubul Federal Chinologic Royal</dc:creator>
  <dc:description>Cerere de creare a expoziției în Managerul de expoziții și de publicare pe cfc-royal.ro</dc:description>
  <cp:lastModifiedBy>Un-named</cp:lastModifiedBy>
  <cp:revision>1</cp:revision>
  <dcterms:created xsi:type="dcterms:W3CDTF">2026-10-06T12:56:55.665Z</dcterms:created>
  <dcterms:modified xsi:type="dcterms:W3CDTF">2026-10-06T12:56:55.667Z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